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Pr="002B7A18" w:rsidRDefault="000529D2" w:rsidP="002B7A18">
            <w:pPr>
              <w:suppressLineNumbers/>
              <w:rPr>
                <w:rFonts w:ascii="Arial" w:hAnsi="Arial"/>
                <w:b/>
                <w:bCs/>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רשמת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שלי  פרקש</w:t>
                </w:r>
              </w:sdtContent>
            </w:sdt>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4778C" w:rsidRDefault="002B7A18">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2A5128" w:rsidP="002B7A18">
            <w:pPr>
              <w:suppressLineNumbers/>
              <w:rPr>
                <w:rFonts w:ascii="Arial" w:hAnsi="Arial"/>
                <w:b/>
                <w:bCs/>
                <w:noProof w:val="0"/>
                <w:sz w:val="26"/>
                <w:szCs w:val="26"/>
                <w:rtl/>
              </w:rPr>
            </w:pPr>
            <w:r>
              <w:rPr>
                <w:rFonts w:ascii="Arial" w:hAnsi="Arial" w:hint="cs"/>
                <w:b/>
                <w:bCs/>
                <w:noProof w:val="0"/>
                <w:sz w:val="26"/>
                <w:szCs w:val="26"/>
                <w:rtl/>
              </w:rPr>
              <w:t>מ.ק.</w:t>
            </w:r>
          </w:p>
          <w:p w:rsidR="002B7A18" w:rsidRDefault="002B7A18" w:rsidP="002B7A18">
            <w:pPr>
              <w:suppressLineNumbers/>
              <w:rPr>
                <w:b/>
                <w:bCs/>
                <w:noProof w:val="0"/>
                <w:sz w:val="26"/>
                <w:szCs w:val="26"/>
                <w:rtl/>
              </w:rPr>
            </w:pPr>
          </w:p>
          <w:p w:rsidR="002B7A18" w:rsidRDefault="002B7A18" w:rsidP="002B7A18">
            <w:pPr>
              <w:suppressLineNumbers/>
              <w:rPr>
                <w:b/>
                <w:bCs/>
                <w:noProof w:val="0"/>
                <w:sz w:val="26"/>
                <w:szCs w:val="26"/>
                <w:rtl/>
              </w:rPr>
            </w:pPr>
            <w:r>
              <w:rPr>
                <w:rFonts w:hint="cs"/>
                <w:b/>
                <w:bCs/>
                <w:noProof w:val="0"/>
                <w:sz w:val="26"/>
                <w:szCs w:val="26"/>
                <w:rtl/>
              </w:rPr>
              <w:t xml:space="preserve">         נ ג ד </w:t>
            </w:r>
          </w:p>
          <w:p w:rsidR="002B7A18" w:rsidRDefault="002B7A18" w:rsidP="002B7A18">
            <w:pPr>
              <w:suppressLineNumbers/>
              <w:rPr>
                <w:b/>
                <w:bCs/>
                <w:noProof w:val="0"/>
                <w:sz w:val="26"/>
                <w:szCs w:val="26"/>
              </w:rPr>
            </w:pPr>
          </w:p>
        </w:tc>
      </w:tr>
      <w:tr w:rsidR="0094424E">
        <w:trPr>
          <w:jc w:val="center"/>
        </w:trPr>
        <w:tc>
          <w:tcPr>
            <w:tcW w:w="3249" w:type="dxa"/>
            <w:gridSpan w:val="2"/>
          </w:tcPr>
          <w:p w:rsidR="0094424E" w:rsidRDefault="0031449C" w:rsidP="00D44968">
            <w:pPr>
              <w:suppressLineNumbers/>
              <w:rPr>
                <w:rFonts w:ascii="Arial" w:hAnsi="Arial"/>
                <w:b/>
                <w:bCs/>
                <w:noProof w:val="0"/>
                <w:sz w:val="26"/>
                <w:szCs w:val="26"/>
              </w:rPr>
            </w:pPr>
            <w:sdt>
              <w:sdtPr>
                <w:rPr>
                  <w:rtl/>
                </w:rPr>
                <w:alias w:val="1184"/>
                <w:tag w:val="1184"/>
                <w:id w:val="-340621022"/>
                <w:text w:multiLine="1"/>
              </w:sdtPr>
              <w:sdtEndPr/>
              <w:sdtContent>
                <w:r w:rsidR="002B7A18">
                  <w:rPr>
                    <w:rFonts w:ascii="Arial" w:hAnsi="Arial"/>
                    <w:b/>
                    <w:bCs/>
                    <w:noProof w:val="0"/>
                    <w:sz w:val="26"/>
                    <w:szCs w:val="26"/>
                    <w:rtl/>
                  </w:rPr>
                  <w:t>משיב</w:t>
                </w:r>
              </w:sdtContent>
            </w:sdt>
          </w:p>
        </w:tc>
        <w:tc>
          <w:tcPr>
            <w:tcW w:w="5571" w:type="dxa"/>
            <w:gridSpan w:val="2"/>
          </w:tcPr>
          <w:p w:rsidR="00CF6BB7" w:rsidRPr="002A5128" w:rsidRDefault="002A5128" w:rsidP="002B7A18">
            <w:pPr>
              <w:suppressLineNumbers/>
              <w:rPr>
                <w:rFonts w:ascii="Arial" w:hAnsi="Arial"/>
                <w:b/>
                <w:bCs/>
                <w:noProof w:val="0"/>
                <w:sz w:val="26"/>
                <w:szCs w:val="26"/>
                <w:rtl/>
              </w:rPr>
            </w:pPr>
            <w:r w:rsidRPr="002A5128">
              <w:rPr>
                <w:rFonts w:hint="cs"/>
                <w:b/>
                <w:bCs/>
                <w:sz w:val="26"/>
                <w:szCs w:val="26"/>
                <w:rtl/>
              </w:rPr>
              <w:t>פ.ק.</w:t>
            </w:r>
          </w:p>
          <w:p w:rsidR="002B7A18" w:rsidRDefault="002B7A18" w:rsidP="002B7A18">
            <w:pPr>
              <w:suppressLineNumbers/>
              <w:rPr>
                <w:rFonts w:ascii="Arial" w:hAnsi="Arial"/>
                <w:b/>
                <w:bCs/>
                <w:noProof w:val="0"/>
                <w:sz w:val="26"/>
                <w:szCs w:val="26"/>
                <w:rtl/>
              </w:rPr>
            </w:pPr>
          </w:p>
          <w:p w:rsidR="002B7A18" w:rsidRPr="002B7A18" w:rsidRDefault="002B7A18" w:rsidP="002B7A18">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2B7A18" w:rsidP="002B7A18">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B7A18" w:rsidRDefault="002B7A18" w:rsidP="002B7A18">
      <w:pPr>
        <w:spacing w:line="360" w:lineRule="auto"/>
        <w:jc w:val="both"/>
        <w:rPr>
          <w:rFonts w:ascii="David" w:hAnsi="David"/>
          <w:rtl/>
        </w:rPr>
      </w:pPr>
      <w:bookmarkStart w:id="0" w:name="NGCSBookmark"/>
      <w:bookmarkEnd w:id="0"/>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לפניי בקשה לצו עיקול זמני.</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Pr>
      </w:pPr>
      <w:r w:rsidRPr="002B7A18">
        <w:rPr>
          <w:rFonts w:ascii="David" w:hAnsi="David" w:cs="David"/>
          <w:sz w:val="24"/>
          <w:szCs w:val="24"/>
          <w:rtl/>
        </w:rPr>
        <w:t>הצדדים הם בני-זוג לשעבר.</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המבקשת הגישה תובענה </w:t>
      </w:r>
      <w:proofErr w:type="spellStart"/>
      <w:r w:rsidRPr="002B7A18">
        <w:rPr>
          <w:rFonts w:ascii="David" w:hAnsi="David" w:cs="David"/>
          <w:sz w:val="24"/>
          <w:szCs w:val="24"/>
          <w:rtl/>
        </w:rPr>
        <w:t>רכושית</w:t>
      </w:r>
      <w:proofErr w:type="spellEnd"/>
      <w:r w:rsidRPr="002B7A18">
        <w:rPr>
          <w:rFonts w:ascii="David" w:hAnsi="David" w:cs="David"/>
          <w:sz w:val="24"/>
          <w:szCs w:val="24"/>
          <w:rtl/>
        </w:rPr>
        <w:t xml:space="preserve"> לאיזון משאבים ולפירוק שיתוף ולצדה בקשה להטלת צו עיקול זמני במעמד צד אחד על זכויות המשיב אצל מספר מחזיקים.</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לאחר מספר הבהרות שנתבקשו, ניתן ביום 13.4.23 צו ארעי אצל 3 המחזיקות איילון, </w:t>
      </w:r>
      <w:proofErr w:type="spellStart"/>
      <w:r w:rsidRPr="002B7A18">
        <w:rPr>
          <w:rFonts w:ascii="David" w:hAnsi="David" w:cs="David"/>
          <w:sz w:val="24"/>
          <w:szCs w:val="24"/>
          <w:rtl/>
        </w:rPr>
        <w:t>אלטשולר</w:t>
      </w:r>
      <w:proofErr w:type="spellEnd"/>
      <w:r w:rsidRPr="002B7A18">
        <w:rPr>
          <w:rFonts w:ascii="David" w:hAnsi="David" w:cs="David"/>
          <w:sz w:val="24"/>
          <w:szCs w:val="24"/>
          <w:rtl/>
        </w:rPr>
        <w:t>-שחם והראל. כמו כן הוטל צו על הפיקדונות וחסכונות בחשבון הבנק המשותף בבנק אוצר החייל וכן על כלי הרכב.</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ביום 8.6.23, הגיש המשיב "הודעה דחופה</w:t>
      </w:r>
      <w:r>
        <w:rPr>
          <w:rFonts w:ascii="David" w:hAnsi="David" w:cs="David"/>
          <w:sz w:val="24"/>
          <w:szCs w:val="24"/>
          <w:rtl/>
        </w:rPr>
        <w:t xml:space="preserve"> על אי המצאת מסמכים"</w:t>
      </w:r>
      <w:r>
        <w:rPr>
          <w:rFonts w:ascii="David" w:hAnsi="David" w:cs="David" w:hint="cs"/>
          <w:sz w:val="24"/>
          <w:szCs w:val="24"/>
          <w:rtl/>
        </w:rPr>
        <w:t>, כשהכוונה היא לבקשה לביטול צו ארעי בגין</w:t>
      </w:r>
      <w:r>
        <w:rPr>
          <w:rFonts w:ascii="David" w:hAnsi="David" w:cs="David"/>
          <w:sz w:val="24"/>
          <w:szCs w:val="24"/>
          <w:rtl/>
        </w:rPr>
        <w:t xml:space="preserve"> </w:t>
      </w:r>
      <w:r w:rsidRPr="002B7A18">
        <w:rPr>
          <w:rFonts w:ascii="David" w:hAnsi="David" w:cs="David"/>
          <w:sz w:val="24"/>
          <w:szCs w:val="24"/>
          <w:rtl/>
        </w:rPr>
        <w:t xml:space="preserve">טענתו </w:t>
      </w:r>
      <w:r>
        <w:rPr>
          <w:rFonts w:ascii="David" w:hAnsi="David" w:cs="David" w:hint="cs"/>
          <w:sz w:val="24"/>
          <w:szCs w:val="24"/>
          <w:rtl/>
        </w:rPr>
        <w:t xml:space="preserve">לפיה </w:t>
      </w:r>
      <w:r w:rsidRPr="002B7A18">
        <w:rPr>
          <w:rFonts w:ascii="David" w:hAnsi="David" w:cs="David"/>
          <w:sz w:val="24"/>
          <w:szCs w:val="24"/>
          <w:rtl/>
        </w:rPr>
        <w:t>לא בוצעה מסירה בהתאם לדין של הבקשה לסעד זמני ו</w:t>
      </w:r>
      <w:r>
        <w:rPr>
          <w:rFonts w:ascii="David" w:hAnsi="David" w:cs="David" w:hint="cs"/>
          <w:sz w:val="24"/>
          <w:szCs w:val="24"/>
          <w:rtl/>
        </w:rPr>
        <w:t xml:space="preserve">של </w:t>
      </w:r>
      <w:r w:rsidRPr="002B7A18">
        <w:rPr>
          <w:rFonts w:ascii="David" w:hAnsi="David" w:cs="David"/>
          <w:sz w:val="24"/>
          <w:szCs w:val="24"/>
          <w:rtl/>
        </w:rPr>
        <w:t>הצו הארעי שניתן.</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לאחר שהוגשה תשובת המבקשת, ניתנה ביום 21.6.23 החלטה שלפיה על המשיב להודיע האם מבוקש לקבוע מועד לדיון במעמד הצדדים בבקשה זו. המשיב הודיע כי בפיו טענות גם לגופו של עניין ונקבע מועד לדיון. בין לבין </w:t>
      </w:r>
      <w:r>
        <w:rPr>
          <w:rFonts w:ascii="David" w:hAnsi="David" w:cs="David" w:hint="cs"/>
          <w:sz w:val="24"/>
          <w:szCs w:val="24"/>
          <w:rtl/>
        </w:rPr>
        <w:t>פרש</w:t>
      </w:r>
      <w:r w:rsidRPr="002B7A18">
        <w:rPr>
          <w:rFonts w:ascii="David" w:hAnsi="David" w:cs="David"/>
          <w:sz w:val="24"/>
          <w:szCs w:val="24"/>
          <w:rtl/>
        </w:rPr>
        <w:t xml:space="preserve"> המשיב גם את טענות</w:t>
      </w:r>
      <w:r>
        <w:rPr>
          <w:rFonts w:ascii="David" w:hAnsi="David" w:cs="David"/>
          <w:sz w:val="24"/>
          <w:szCs w:val="24"/>
          <w:rtl/>
        </w:rPr>
        <w:t>יו לגופו של עניין</w:t>
      </w:r>
      <w:r>
        <w:rPr>
          <w:rFonts w:ascii="David" w:hAnsi="David" w:cs="David" w:hint="cs"/>
          <w:sz w:val="24"/>
          <w:szCs w:val="24"/>
          <w:rtl/>
        </w:rPr>
        <w:t xml:space="preserve"> בכתב.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כל ניסיון לקדם את הצדדים לקראת הסכמה חלקית או זמנית, לא צלח ומכאן ההחלטה.</w:t>
      </w:r>
    </w:p>
    <w:p w:rsidR="002B7A18" w:rsidRDefault="002B7A18" w:rsidP="002B7A18">
      <w:pPr>
        <w:pStyle w:val="ad"/>
        <w:spacing w:after="0" w:line="360" w:lineRule="auto"/>
        <w:ind w:left="0"/>
        <w:jc w:val="both"/>
        <w:rPr>
          <w:rFonts w:ascii="David" w:hAnsi="David" w:cs="David"/>
          <w:sz w:val="24"/>
          <w:szCs w:val="24"/>
          <w:rtl/>
        </w:rPr>
      </w:pPr>
    </w:p>
    <w:p w:rsidR="002B7A18" w:rsidRDefault="002B7A18" w:rsidP="002B7A18">
      <w:pPr>
        <w:pStyle w:val="ad"/>
        <w:spacing w:after="0" w:line="360" w:lineRule="auto"/>
        <w:ind w:left="0"/>
        <w:jc w:val="both"/>
        <w:rPr>
          <w:rFonts w:ascii="David" w:hAnsi="David" w:cs="David"/>
          <w:sz w:val="24"/>
          <w:szCs w:val="24"/>
          <w:rtl/>
        </w:rPr>
      </w:pPr>
    </w:p>
    <w:p w:rsidR="002B7A18" w:rsidRDefault="002B7A18" w:rsidP="002B7A18">
      <w:pPr>
        <w:pStyle w:val="ad"/>
        <w:spacing w:after="0" w:line="360" w:lineRule="auto"/>
        <w:ind w:left="0"/>
        <w:jc w:val="both"/>
        <w:rPr>
          <w:rFonts w:ascii="David" w:hAnsi="David" w:cs="David"/>
          <w:sz w:val="24"/>
          <w:szCs w:val="24"/>
          <w:rtl/>
        </w:rPr>
      </w:pP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spacing w:after="0" w:line="360" w:lineRule="auto"/>
        <w:ind w:left="0"/>
        <w:jc w:val="both"/>
        <w:rPr>
          <w:rFonts w:ascii="David" w:hAnsi="David" w:cs="David"/>
          <w:b/>
          <w:bCs/>
          <w:sz w:val="24"/>
          <w:szCs w:val="24"/>
          <w:u w:val="single"/>
          <w:rtl/>
        </w:rPr>
      </w:pPr>
      <w:r w:rsidRPr="002B7A18">
        <w:rPr>
          <w:rFonts w:ascii="David" w:hAnsi="David" w:cs="David"/>
          <w:b/>
          <w:bCs/>
          <w:sz w:val="24"/>
          <w:szCs w:val="24"/>
          <w:u w:val="single"/>
          <w:rtl/>
        </w:rPr>
        <w:t>אי ביצוע המצאה כדין</w:t>
      </w: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בסעיף 6 לצו הארעי מיום 13.4.23 נקבע כי המבקשת תבצע מסירה אישית כדין למשיב בתוך 3 ימים ממועד הפקדת הבטוחות. הוראה זו תואמת את הוראת הדין הקבועה בתקנה 97(ד) לתקנות סדר הדין האזרחי, תשע"ט-2018.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Pr>
      </w:pPr>
      <w:r w:rsidRPr="002B7A18">
        <w:rPr>
          <w:rFonts w:ascii="David" w:hAnsi="David" w:cs="David"/>
          <w:sz w:val="24"/>
          <w:szCs w:val="24"/>
          <w:rtl/>
        </w:rPr>
        <w:t>עיון בתיק מעלה כי הבטוחות הופ</w:t>
      </w:r>
      <w:r>
        <w:rPr>
          <w:rFonts w:ascii="David" w:hAnsi="David" w:cs="David"/>
          <w:sz w:val="24"/>
          <w:szCs w:val="24"/>
          <w:rtl/>
        </w:rPr>
        <w:t>קדו והצו הופק ביום 23.4.23</w:t>
      </w:r>
      <w:r>
        <w:rPr>
          <w:rFonts w:ascii="David" w:hAnsi="David" w:cs="David" w:hint="cs"/>
          <w:sz w:val="24"/>
          <w:szCs w:val="24"/>
          <w:rtl/>
        </w:rPr>
        <w:t xml:space="preserve">. </w:t>
      </w:r>
      <w:r w:rsidRPr="002B7A18">
        <w:rPr>
          <w:rFonts w:ascii="David" w:hAnsi="David" w:cs="David"/>
          <w:sz w:val="24"/>
          <w:szCs w:val="24"/>
          <w:rtl/>
        </w:rPr>
        <w:t xml:space="preserve">היה על המבקשת לבצע </w:t>
      </w:r>
      <w:r>
        <w:rPr>
          <w:rFonts w:ascii="David" w:hAnsi="David" w:cs="David" w:hint="cs"/>
          <w:sz w:val="24"/>
          <w:szCs w:val="24"/>
          <w:rtl/>
        </w:rPr>
        <w:t xml:space="preserve">אפוא </w:t>
      </w:r>
      <w:r w:rsidRPr="002B7A18">
        <w:rPr>
          <w:rFonts w:ascii="David" w:hAnsi="David" w:cs="David"/>
          <w:sz w:val="24"/>
          <w:szCs w:val="24"/>
          <w:rtl/>
        </w:rPr>
        <w:t>מסירה</w:t>
      </w:r>
      <w:r>
        <w:rPr>
          <w:rFonts w:ascii="David" w:hAnsi="David" w:cs="David" w:hint="cs"/>
          <w:sz w:val="24"/>
          <w:szCs w:val="24"/>
          <w:rtl/>
        </w:rPr>
        <w:t xml:space="preserve"> אישית</w:t>
      </w:r>
      <w:r w:rsidRPr="002B7A18">
        <w:rPr>
          <w:rFonts w:ascii="David" w:hAnsi="David" w:cs="David"/>
          <w:sz w:val="24"/>
          <w:szCs w:val="24"/>
          <w:rtl/>
        </w:rPr>
        <w:t xml:space="preserve"> כדין</w:t>
      </w:r>
      <w:r>
        <w:rPr>
          <w:rFonts w:ascii="David" w:hAnsi="David" w:cs="David" w:hint="cs"/>
          <w:sz w:val="24"/>
          <w:szCs w:val="24"/>
          <w:rtl/>
        </w:rPr>
        <w:t xml:space="preserve"> לידיו של המשיב</w:t>
      </w:r>
      <w:r>
        <w:rPr>
          <w:rFonts w:ascii="David" w:hAnsi="David" w:cs="David"/>
          <w:sz w:val="24"/>
          <w:szCs w:val="24"/>
          <w:rtl/>
        </w:rPr>
        <w:t xml:space="preserve"> עד </w:t>
      </w:r>
      <w:r w:rsidRPr="002B7A18">
        <w:rPr>
          <w:rFonts w:ascii="David" w:hAnsi="David" w:cs="David"/>
          <w:sz w:val="24"/>
          <w:szCs w:val="24"/>
          <w:rtl/>
        </w:rPr>
        <w:t>יום 26.4.23.</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המבקשת לא ביצעה מסירה אישית למשיב, לא במועד, ולא בכלל. ר' עמ' 6, </w:t>
      </w:r>
      <w:proofErr w:type="spellStart"/>
      <w:r w:rsidRPr="002B7A18">
        <w:rPr>
          <w:rFonts w:ascii="David" w:hAnsi="David" w:cs="David"/>
          <w:sz w:val="24"/>
          <w:szCs w:val="24"/>
          <w:rtl/>
        </w:rPr>
        <w:t>שו</w:t>
      </w:r>
      <w:proofErr w:type="spellEnd"/>
      <w:r w:rsidRPr="002B7A18">
        <w:rPr>
          <w:rFonts w:ascii="David" w:hAnsi="David" w:cs="David"/>
          <w:sz w:val="24"/>
          <w:szCs w:val="24"/>
          <w:rtl/>
        </w:rPr>
        <w:t xml:space="preserve">' 4; תשובה מיום 21.6.23.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כידוע, לא ניתן להפריז בחשיבות שיש בביצוע הוראותיו של צו אשר ניתן לבקשתו של בעל-ד</w:t>
      </w:r>
      <w:r>
        <w:rPr>
          <w:rFonts w:ascii="David" w:hAnsi="David" w:cs="David"/>
          <w:sz w:val="24"/>
          <w:szCs w:val="24"/>
          <w:rtl/>
        </w:rPr>
        <w:t>ין במעמד צד אחד, ככתבן וכלשונן</w:t>
      </w:r>
      <w:r>
        <w:rPr>
          <w:rFonts w:ascii="David" w:hAnsi="David" w:cs="David" w:hint="cs"/>
          <w:sz w:val="24"/>
          <w:szCs w:val="24"/>
          <w:rtl/>
        </w:rPr>
        <w:t xml:space="preserve">, בעת </w:t>
      </w:r>
      <w:r w:rsidRPr="002B7A18">
        <w:rPr>
          <w:rFonts w:ascii="David" w:hAnsi="David" w:cs="David"/>
          <w:sz w:val="24"/>
          <w:szCs w:val="24"/>
          <w:rtl/>
        </w:rPr>
        <w:t xml:space="preserve">שכל המידע מצוי בידי צד אחד בלבד ואין למשיב כל מקור מידע אחר להישען עליו זולת בעל-הדין אשר הגיש את הבקשה. ר' בהתאמה לענייננו בע"מ 4808/04 </w:t>
      </w:r>
      <w:r w:rsidRPr="002B7A18">
        <w:rPr>
          <w:rFonts w:ascii="David" w:hAnsi="David" w:cs="David"/>
          <w:b/>
          <w:bCs/>
          <w:sz w:val="24"/>
          <w:szCs w:val="24"/>
          <w:rtl/>
        </w:rPr>
        <w:t>פלונית נ' פלוני</w:t>
      </w:r>
      <w:r w:rsidRPr="002B7A18">
        <w:rPr>
          <w:rFonts w:ascii="David" w:hAnsi="David" w:cs="David"/>
          <w:sz w:val="24"/>
          <w:szCs w:val="24"/>
          <w:rtl/>
        </w:rPr>
        <w:t xml:space="preserve">, פ"ד נט(3)132 (2004).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ישנה חשיבות עליונה בביצוע דווקני ומדויק של הוראות הצו הנוגע לזכויותיו של </w:t>
      </w:r>
      <w:r>
        <w:rPr>
          <w:rFonts w:ascii="David" w:hAnsi="David" w:cs="David" w:hint="cs"/>
          <w:sz w:val="24"/>
          <w:szCs w:val="24"/>
          <w:rtl/>
        </w:rPr>
        <w:t>בעל-דין</w:t>
      </w:r>
      <w:r w:rsidRPr="002B7A18">
        <w:rPr>
          <w:rFonts w:ascii="David" w:hAnsi="David" w:cs="David"/>
          <w:sz w:val="24"/>
          <w:szCs w:val="24"/>
          <w:rtl/>
        </w:rPr>
        <w:t xml:space="preserve"> אשר אינו יודע אודותיו. מצופה </w:t>
      </w:r>
      <w:r w:rsidR="00ED164F">
        <w:rPr>
          <w:rFonts w:ascii="David" w:hAnsi="David" w:cs="David" w:hint="cs"/>
          <w:sz w:val="24"/>
          <w:szCs w:val="24"/>
          <w:rtl/>
        </w:rPr>
        <w:t xml:space="preserve">אפוא </w:t>
      </w:r>
      <w:r w:rsidRPr="002B7A18">
        <w:rPr>
          <w:rFonts w:ascii="David" w:hAnsi="David" w:cs="David"/>
          <w:sz w:val="24"/>
          <w:szCs w:val="24"/>
          <w:rtl/>
        </w:rPr>
        <w:t>ממבקש</w:t>
      </w:r>
      <w:r w:rsidR="00ED164F">
        <w:rPr>
          <w:rFonts w:ascii="David" w:hAnsi="David" w:cs="David" w:hint="cs"/>
          <w:sz w:val="24"/>
          <w:szCs w:val="24"/>
          <w:rtl/>
        </w:rPr>
        <w:t>ת</w:t>
      </w:r>
      <w:r w:rsidR="00ED164F">
        <w:rPr>
          <w:rFonts w:ascii="David" w:hAnsi="David" w:cs="David"/>
          <w:sz w:val="24"/>
          <w:szCs w:val="24"/>
          <w:rtl/>
        </w:rPr>
        <w:t xml:space="preserve"> הפונה בבקשה במעמד צד אחד, כי </w:t>
      </w:r>
      <w:r w:rsidR="00ED164F">
        <w:rPr>
          <w:rFonts w:ascii="David" w:hAnsi="David" w:cs="David" w:hint="cs"/>
          <w:sz w:val="24"/>
          <w:szCs w:val="24"/>
          <w:rtl/>
        </w:rPr>
        <w:t>ת</w:t>
      </w:r>
      <w:r w:rsidRPr="002B7A18">
        <w:rPr>
          <w:rFonts w:ascii="David" w:hAnsi="David" w:cs="David"/>
          <w:sz w:val="24"/>
          <w:szCs w:val="24"/>
          <w:rtl/>
        </w:rPr>
        <w:t>קיים את ההוראו</w:t>
      </w:r>
      <w:r w:rsidR="00ED164F">
        <w:rPr>
          <w:rFonts w:ascii="David" w:hAnsi="David" w:cs="David"/>
          <w:sz w:val="24"/>
          <w:szCs w:val="24"/>
          <w:rtl/>
        </w:rPr>
        <w:t>ת בדווקנות ובאותה הדחיפות לה טע</w:t>
      </w:r>
      <w:r w:rsidR="00ED164F">
        <w:rPr>
          <w:rFonts w:ascii="David" w:hAnsi="David" w:cs="David" w:hint="cs"/>
          <w:sz w:val="24"/>
          <w:szCs w:val="24"/>
          <w:rtl/>
        </w:rPr>
        <w:t>נה</w:t>
      </w:r>
      <w:r w:rsidRPr="002B7A18">
        <w:rPr>
          <w:rFonts w:ascii="David" w:hAnsi="David" w:cs="David"/>
          <w:sz w:val="24"/>
          <w:szCs w:val="24"/>
          <w:rtl/>
        </w:rPr>
        <w:t>.</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ED164F">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המבקשת אינה חולקת על כך שהמועד הראשון שבו נודע למשיב אודות הצו הוא ביום 29.5.23. גם כשטען </w:t>
      </w:r>
      <w:r w:rsidR="00ED164F">
        <w:rPr>
          <w:rFonts w:ascii="David" w:hAnsi="David" w:cs="David" w:hint="cs"/>
          <w:sz w:val="24"/>
          <w:szCs w:val="24"/>
          <w:rtl/>
        </w:rPr>
        <w:t>המשיב</w:t>
      </w:r>
      <w:r w:rsidRPr="002B7A18">
        <w:rPr>
          <w:rFonts w:ascii="David" w:hAnsi="David" w:cs="David"/>
          <w:sz w:val="24"/>
          <w:szCs w:val="24"/>
          <w:rtl/>
        </w:rPr>
        <w:t xml:space="preserve"> לאי ביצוע מסירה כדין, לא ניסתה לתקן את הפגם.</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בהוראת תקנה 100(2) לתקנות נקבע שהסעד הזמני יפקע "</w:t>
      </w:r>
      <w:r w:rsidRPr="002B7A18">
        <w:rPr>
          <w:rFonts w:ascii="David" w:eastAsia="Times New Roman" w:hAnsi="David" w:cs="David"/>
          <w:sz w:val="24"/>
          <w:szCs w:val="24"/>
          <w:rtl/>
        </w:rPr>
        <w:t>(2) אם הצו ניתן במעמד צד אחד ולא הומצא למשיב כאמור בתקנה 97(ד), זולת אם בית המשפט הורה אחרת, מטעמים מיוחדים;</w:t>
      </w:r>
      <w:r w:rsidRPr="002B7A18">
        <w:rPr>
          <w:rFonts w:ascii="David" w:hAnsi="David" w:cs="David"/>
          <w:sz w:val="24"/>
          <w:szCs w:val="24"/>
          <w:rtl/>
        </w:rPr>
        <w:t xml:space="preserve">".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לא נמצאו כל טעמים מיוחדים המצדיקים לחרוג מההוראה דלעיל. המבקשת אף לא ניסתה לטעון</w:t>
      </w:r>
      <w:r w:rsidR="00ED164F">
        <w:rPr>
          <w:rFonts w:ascii="David" w:hAnsi="David" w:cs="David"/>
          <w:sz w:val="24"/>
          <w:szCs w:val="24"/>
          <w:rtl/>
        </w:rPr>
        <w:t xml:space="preserve"> שקיימים כאלה. לא מדובר באיחו</w:t>
      </w:r>
      <w:r w:rsidR="00ED164F">
        <w:rPr>
          <w:rFonts w:ascii="David" w:hAnsi="David" w:cs="David" w:hint="cs"/>
          <w:sz w:val="24"/>
          <w:szCs w:val="24"/>
          <w:rtl/>
        </w:rPr>
        <w:t xml:space="preserve">ר, שאז אולי </w:t>
      </w:r>
      <w:r w:rsidRPr="002B7A18">
        <w:rPr>
          <w:rFonts w:ascii="David" w:hAnsi="David" w:cs="David"/>
          <w:sz w:val="24"/>
          <w:szCs w:val="24"/>
          <w:rtl/>
        </w:rPr>
        <w:t xml:space="preserve">ניתן לשקול משכו, ולא נטען כי נסיבה כלשהי מנעה מהמבקשת לבצע הוראות הצו כלשונן. ר' לדוגמה רע"א (ת"א) 7458-11-22 </w:t>
      </w:r>
      <w:proofErr w:type="spellStart"/>
      <w:r w:rsidRPr="002B7A18">
        <w:rPr>
          <w:rFonts w:ascii="David" w:hAnsi="David" w:cs="David"/>
          <w:b/>
          <w:bCs/>
          <w:sz w:val="24"/>
          <w:szCs w:val="24"/>
          <w:rtl/>
        </w:rPr>
        <w:t>אמ</w:t>
      </w:r>
      <w:proofErr w:type="spellEnd"/>
      <w:r w:rsidRPr="002B7A18">
        <w:rPr>
          <w:rFonts w:ascii="David" w:hAnsi="David" w:cs="David"/>
          <w:b/>
          <w:bCs/>
          <w:sz w:val="24"/>
          <w:szCs w:val="24"/>
          <w:rtl/>
        </w:rPr>
        <w:t xml:space="preserve"> אנד </w:t>
      </w:r>
      <w:proofErr w:type="spellStart"/>
      <w:r w:rsidRPr="002B7A18">
        <w:rPr>
          <w:rFonts w:ascii="David" w:hAnsi="David" w:cs="David"/>
          <w:b/>
          <w:bCs/>
          <w:sz w:val="24"/>
          <w:szCs w:val="24"/>
          <w:rtl/>
        </w:rPr>
        <w:t>אמ</w:t>
      </w:r>
      <w:proofErr w:type="spellEnd"/>
      <w:r w:rsidRPr="002B7A18">
        <w:rPr>
          <w:rFonts w:ascii="David" w:hAnsi="David" w:cs="David"/>
          <w:b/>
          <w:bCs/>
          <w:sz w:val="24"/>
          <w:szCs w:val="24"/>
          <w:rtl/>
        </w:rPr>
        <w:t xml:space="preserve"> </w:t>
      </w:r>
      <w:proofErr w:type="spellStart"/>
      <w:r w:rsidRPr="002B7A18">
        <w:rPr>
          <w:rFonts w:ascii="David" w:hAnsi="David" w:cs="David"/>
          <w:b/>
          <w:bCs/>
          <w:sz w:val="24"/>
          <w:szCs w:val="24"/>
          <w:rtl/>
        </w:rPr>
        <w:t>אלקטרוניקס</w:t>
      </w:r>
      <w:proofErr w:type="spellEnd"/>
      <w:r w:rsidRPr="002B7A18">
        <w:rPr>
          <w:rFonts w:ascii="David" w:hAnsi="David" w:cs="David"/>
          <w:b/>
          <w:bCs/>
          <w:sz w:val="24"/>
          <w:szCs w:val="24"/>
          <w:rtl/>
        </w:rPr>
        <w:t xml:space="preserve"> </w:t>
      </w:r>
      <w:proofErr w:type="spellStart"/>
      <w:r w:rsidRPr="002B7A18">
        <w:rPr>
          <w:rFonts w:ascii="David" w:hAnsi="David" w:cs="David"/>
          <w:b/>
          <w:bCs/>
          <w:sz w:val="24"/>
          <w:szCs w:val="24"/>
          <w:rtl/>
        </w:rPr>
        <w:t>אמ.אס.אמ</w:t>
      </w:r>
      <w:proofErr w:type="spellEnd"/>
      <w:r w:rsidRPr="002B7A18">
        <w:rPr>
          <w:rFonts w:ascii="David" w:hAnsi="David" w:cs="David"/>
          <w:b/>
          <w:bCs/>
          <w:sz w:val="24"/>
          <w:szCs w:val="24"/>
          <w:rtl/>
        </w:rPr>
        <w:t xml:space="preserve"> בע"מ נ' מעוז גיל חברה </w:t>
      </w:r>
      <w:proofErr w:type="spellStart"/>
      <w:r w:rsidRPr="002B7A18">
        <w:rPr>
          <w:rFonts w:ascii="David" w:hAnsi="David" w:cs="David"/>
          <w:b/>
          <w:bCs/>
          <w:sz w:val="24"/>
          <w:szCs w:val="24"/>
          <w:rtl/>
        </w:rPr>
        <w:t>לבנין</w:t>
      </w:r>
      <w:proofErr w:type="spellEnd"/>
      <w:r w:rsidRPr="002B7A18">
        <w:rPr>
          <w:rFonts w:ascii="David" w:hAnsi="David" w:cs="David"/>
          <w:b/>
          <w:bCs/>
          <w:sz w:val="24"/>
          <w:szCs w:val="24"/>
          <w:rtl/>
        </w:rPr>
        <w:t xml:space="preserve"> בע"</w:t>
      </w:r>
      <w:r w:rsidRPr="002B7A18">
        <w:rPr>
          <w:rFonts w:ascii="David" w:hAnsi="David" w:cs="David"/>
          <w:sz w:val="24"/>
          <w:szCs w:val="24"/>
          <w:rtl/>
        </w:rPr>
        <w:t xml:space="preserve">מ, מיום 4.1.23. </w:t>
      </w:r>
    </w:p>
    <w:p w:rsidR="002B7A18" w:rsidRPr="002B7A18" w:rsidRDefault="002B7A18" w:rsidP="002B7A18">
      <w:pPr>
        <w:spacing w:line="360" w:lineRule="auto"/>
        <w:jc w:val="both"/>
        <w:rPr>
          <w:rFonts w:ascii="David" w:hAnsi="David"/>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אשר על כן, דין טענות המשיב להתקבל ויש להורות על ביטול הצו הארעי מטעם זה בלבד של אי ביצוע המצאה כדין.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בהתאם לדין, ולמען הסרת הספקות, אדרש גם לגופו של עניין.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בפתח הדברים, בהינתן שנודע למשיב לראשונה אודות הצו ביום 29.5.23, הוגשה הבקשה בתוך 30 ימים בהתאם לדין ועל כן דין טענת המבקשת כי מדובר בבקשה לעיון מחדש בהתאם להוראת תקנה 98 לתקנות, </w:t>
      </w:r>
      <w:r w:rsidR="00ED164F">
        <w:rPr>
          <w:rFonts w:ascii="David" w:hAnsi="David" w:cs="David" w:hint="cs"/>
          <w:sz w:val="24"/>
          <w:szCs w:val="24"/>
          <w:rtl/>
        </w:rPr>
        <w:t xml:space="preserve">בעקבות הגשת הבקשה לאחר חלוף המועד, </w:t>
      </w:r>
      <w:r w:rsidRPr="002B7A18">
        <w:rPr>
          <w:rFonts w:ascii="David" w:hAnsi="David" w:cs="David"/>
          <w:sz w:val="24"/>
          <w:szCs w:val="24"/>
          <w:rtl/>
        </w:rPr>
        <w:t xml:space="preserve">דינה להידחות.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מטרת הסעד הזמני הוגדרה בהוראת תקנה 94 לתקנות סדר הדין האזרחי, תשע"ט-2018 כהאי לישנא: "</w:t>
      </w:r>
      <w:r w:rsidRPr="00ED164F">
        <w:rPr>
          <w:rFonts w:ascii="David" w:hAnsi="David" w:cs="David"/>
          <w:b/>
          <w:bCs/>
          <w:sz w:val="24"/>
          <w:szCs w:val="24"/>
          <w:rtl/>
        </w:rPr>
        <w:t>מטרת הסעד הזמני היא להבטיח זכות לכאורה במהלך ההליך המשפטי ואת קיומו התקין והיעיל של ההליך או את ביצועו הראוי של פסק-הדין</w:t>
      </w:r>
      <w:r w:rsidRPr="002B7A18">
        <w:rPr>
          <w:rFonts w:ascii="David" w:hAnsi="David" w:cs="David"/>
          <w:sz w:val="24"/>
          <w:szCs w:val="24"/>
          <w:rtl/>
        </w:rPr>
        <w:t xml:space="preserve">".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ED164F">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השיקולים העיקריים אותם שוקל בית המשפט בהכרעתו </w:t>
      </w:r>
      <w:r w:rsidR="00ED164F">
        <w:rPr>
          <w:rFonts w:ascii="David" w:hAnsi="David" w:cs="David"/>
          <w:sz w:val="24"/>
          <w:szCs w:val="24"/>
          <w:rtl/>
        </w:rPr>
        <w:t>כפי שמורה</w:t>
      </w:r>
      <w:r w:rsidRPr="002B7A18">
        <w:rPr>
          <w:rFonts w:ascii="David" w:hAnsi="David" w:cs="David"/>
          <w:sz w:val="24"/>
          <w:szCs w:val="24"/>
          <w:rtl/>
        </w:rPr>
        <w:t xml:space="preserve"> הוראת תקנה 95 לתקנות, הם קיומן של ראיות מספקות לכאורה לקיום עילת תביעה; נחיצות הסעד הזמני; האם אין סעד אחר שפגיעתו במשיב קלה יותר המשיג את אותה התכלית; תום-לבם של הצדדים; אחר זאת יש לבצע השוואת נזקים. בין עוצמתה הלכאורית של עילת התביעה לבין מאזן הנוחות, קיים יחס של מעין "מקבילית כוחות". כידוע, על המבקשת בכל מקרה לעמוד ברף מינימאלי בנוגע לכל אחד מהתנאים בנפרד.</w:t>
      </w:r>
    </w:p>
    <w:p w:rsidR="002B7A18" w:rsidRPr="002B7A18" w:rsidRDefault="002B7A18" w:rsidP="002B7A18">
      <w:pPr>
        <w:pStyle w:val="ad"/>
        <w:spacing w:after="0" w:line="360" w:lineRule="auto"/>
        <w:ind w:left="0"/>
        <w:jc w:val="both"/>
        <w:rPr>
          <w:rFonts w:ascii="David" w:hAnsi="David" w:cs="David"/>
          <w:sz w:val="24"/>
          <w:szCs w:val="24"/>
          <w:rtl/>
        </w:rPr>
      </w:pPr>
    </w:p>
    <w:p w:rsidR="002B7A18" w:rsidRDefault="002B7A18" w:rsidP="00ED164F">
      <w:pPr>
        <w:pStyle w:val="ad"/>
        <w:numPr>
          <w:ilvl w:val="0"/>
          <w:numId w:val="1"/>
        </w:numPr>
        <w:spacing w:after="0" w:line="360" w:lineRule="auto"/>
        <w:ind w:left="0"/>
        <w:jc w:val="both"/>
        <w:rPr>
          <w:rFonts w:ascii="David" w:hAnsi="David" w:cs="David"/>
          <w:sz w:val="24"/>
          <w:szCs w:val="24"/>
        </w:rPr>
      </w:pPr>
      <w:r w:rsidRPr="002B7A18">
        <w:rPr>
          <w:rFonts w:ascii="David" w:hAnsi="David" w:cs="David"/>
          <w:sz w:val="24"/>
          <w:szCs w:val="24"/>
          <w:rtl/>
        </w:rPr>
        <w:t xml:space="preserve">אשר לראיות </w:t>
      </w:r>
      <w:r w:rsidR="00ED164F">
        <w:rPr>
          <w:rFonts w:ascii="David" w:hAnsi="David" w:cs="David" w:hint="cs"/>
          <w:sz w:val="24"/>
          <w:szCs w:val="24"/>
          <w:rtl/>
        </w:rPr>
        <w:t xml:space="preserve">מספקות </w:t>
      </w:r>
      <w:r w:rsidRPr="002B7A18">
        <w:rPr>
          <w:rFonts w:ascii="David" w:hAnsi="David" w:cs="David"/>
          <w:sz w:val="24"/>
          <w:szCs w:val="24"/>
          <w:rtl/>
        </w:rPr>
        <w:t xml:space="preserve">לכאורה לקיומה של עילת תביעה. </w:t>
      </w:r>
      <w:r w:rsidRPr="002B7A18">
        <w:rPr>
          <w:rFonts w:ascii="David" w:eastAsia="Times New Roman" w:hAnsi="David" w:cs="David"/>
          <w:sz w:val="24"/>
          <w:szCs w:val="24"/>
          <w:rtl/>
        </w:rPr>
        <w:t xml:space="preserve">על הצדדים לקיים הליך של איזון משאבים לאחר כ-14 שנות נישואין. עם זאת, מבלי לקבע כל ממצא, לא ברור כלל ועיקר מהן המחלוקות בין הצדדים. אמנם הצדדים מתקשים בשלב זה לתקשר ולהגיע להסכמה לגבי אופן ביצוע ההפרדה, כגון לעניין חשבון הבנק המשותף, או מועד הקרע, האם במועד הפרדת המגורים בחודש ספטמבר 2022 או במועד הגשת הליך </w:t>
      </w:r>
      <w:r w:rsidR="00ED164F">
        <w:rPr>
          <w:rFonts w:ascii="David" w:eastAsia="Times New Roman" w:hAnsi="David" w:cs="David"/>
          <w:sz w:val="24"/>
          <w:szCs w:val="24"/>
          <w:rtl/>
        </w:rPr>
        <w:t>יישוב סכסוך בחודש ינואר 2023</w:t>
      </w:r>
      <w:r w:rsidR="00ED164F">
        <w:rPr>
          <w:rFonts w:ascii="David" w:eastAsia="Times New Roman" w:hAnsi="David" w:cs="David" w:hint="cs"/>
          <w:sz w:val="24"/>
          <w:szCs w:val="24"/>
          <w:rtl/>
        </w:rPr>
        <w:t>. ברם, מעבר לקשיים אלה,</w:t>
      </w:r>
      <w:r w:rsidRPr="002B7A18">
        <w:rPr>
          <w:rFonts w:ascii="David" w:eastAsia="Times New Roman" w:hAnsi="David" w:cs="David"/>
          <w:sz w:val="24"/>
          <w:szCs w:val="24"/>
          <w:rtl/>
        </w:rPr>
        <w:t xml:space="preserve"> לא נתגלתה, למצער לא בשלב זה, כל מחלוקת </w:t>
      </w:r>
      <w:r w:rsidR="00ED164F">
        <w:rPr>
          <w:rFonts w:ascii="David" w:eastAsia="Times New Roman" w:hAnsi="David" w:cs="David" w:hint="cs"/>
          <w:sz w:val="24"/>
          <w:szCs w:val="24"/>
          <w:rtl/>
        </w:rPr>
        <w:t>מהותית</w:t>
      </w:r>
      <w:r w:rsidRPr="002B7A18">
        <w:rPr>
          <w:rFonts w:ascii="David" w:eastAsia="Times New Roman" w:hAnsi="David" w:cs="David"/>
          <w:sz w:val="24"/>
          <w:szCs w:val="24"/>
          <w:rtl/>
        </w:rPr>
        <w:t xml:space="preserve"> הרלבנטית לאופן ביצוע איזון המשאבים ופירוק השיתוף. </w:t>
      </w:r>
      <w:r w:rsidRPr="002B7A18">
        <w:rPr>
          <w:rFonts w:ascii="David" w:hAnsi="David" w:cs="David"/>
          <w:sz w:val="24"/>
          <w:szCs w:val="24"/>
          <w:rtl/>
        </w:rPr>
        <w:t xml:space="preserve">מדובר אפוא בנסיבות של זוג שבנקל יכול היה להתקדם לקראת ביצוע איזון המשאבים בדרך של הסכמה. כל ניסיון כאמור של בית המשפט לסייע בכך במהלך הדיון, נתקל בסירוב. </w:t>
      </w:r>
    </w:p>
    <w:p w:rsidR="00ED164F" w:rsidRPr="00ED164F" w:rsidRDefault="00ED164F" w:rsidP="00ED164F">
      <w:pPr>
        <w:pStyle w:val="ad"/>
        <w:spacing w:after="0" w:line="360" w:lineRule="auto"/>
        <w:ind w:left="0"/>
        <w:jc w:val="both"/>
        <w:rPr>
          <w:rFonts w:ascii="David" w:hAnsi="David" w:cs="David"/>
          <w:sz w:val="24"/>
          <w:szCs w:val="24"/>
        </w:rPr>
      </w:pPr>
    </w:p>
    <w:p w:rsidR="002B7A18" w:rsidRPr="002B7A18" w:rsidRDefault="00ED164F" w:rsidP="00ED164F">
      <w:pPr>
        <w:pStyle w:val="ad"/>
        <w:numPr>
          <w:ilvl w:val="0"/>
          <w:numId w:val="1"/>
        </w:numPr>
        <w:spacing w:after="0" w:line="360" w:lineRule="auto"/>
        <w:ind w:left="0"/>
        <w:jc w:val="both"/>
        <w:rPr>
          <w:rFonts w:ascii="David" w:hAnsi="David" w:cs="David"/>
          <w:sz w:val="24"/>
          <w:szCs w:val="24"/>
        </w:rPr>
      </w:pPr>
      <w:r>
        <w:rPr>
          <w:rFonts w:ascii="David" w:eastAsia="Times New Roman" w:hAnsi="David" w:cs="David"/>
          <w:sz w:val="24"/>
          <w:szCs w:val="24"/>
          <w:rtl/>
        </w:rPr>
        <w:t>אשר לרכיב ההכבדה</w:t>
      </w:r>
      <w:r w:rsidR="002B7A18" w:rsidRPr="002B7A18">
        <w:rPr>
          <w:rFonts w:ascii="David" w:eastAsia="Times New Roman" w:hAnsi="David" w:cs="David"/>
          <w:sz w:val="24"/>
          <w:szCs w:val="24"/>
          <w:rtl/>
        </w:rPr>
        <w:t xml:space="preserve"> המהווה אבן בוחן מרכזית. במכלול הנסיבות </w:t>
      </w:r>
      <w:r>
        <w:rPr>
          <w:rFonts w:ascii="David" w:eastAsia="Times New Roman" w:hAnsi="David" w:cs="David" w:hint="cs"/>
          <w:sz w:val="24"/>
          <w:szCs w:val="24"/>
          <w:rtl/>
        </w:rPr>
        <w:t>ההתרשמות היא</w:t>
      </w:r>
      <w:r w:rsidR="002B7A18" w:rsidRPr="002B7A18">
        <w:rPr>
          <w:rFonts w:ascii="David" w:eastAsia="Times New Roman" w:hAnsi="David" w:cs="David"/>
          <w:sz w:val="24"/>
          <w:szCs w:val="24"/>
          <w:rtl/>
        </w:rPr>
        <w:t xml:space="preserve"> כי הרכיב הקבוע בהוראת תקנה 95(ב) לתקנות, "נחיצות הסעד הזמני", אינו מתמלא. </w:t>
      </w:r>
      <w:r w:rsidR="002B7A18" w:rsidRPr="002B7A18">
        <w:rPr>
          <w:rFonts w:ascii="David" w:hAnsi="David" w:cs="David"/>
          <w:sz w:val="24"/>
          <w:szCs w:val="24"/>
          <w:rtl/>
        </w:rPr>
        <w:t xml:space="preserve">לא בכל מקרה שבו נפתח הליך בבית המשפט </w:t>
      </w:r>
      <w:r>
        <w:rPr>
          <w:rFonts w:ascii="David" w:hAnsi="David" w:cs="David" w:hint="cs"/>
          <w:sz w:val="24"/>
          <w:szCs w:val="24"/>
          <w:rtl/>
        </w:rPr>
        <w:t>לאחר שבני-הזוג נתקלו ב</w:t>
      </w:r>
      <w:r w:rsidR="002B7A18" w:rsidRPr="002B7A18">
        <w:rPr>
          <w:rFonts w:ascii="David" w:hAnsi="David" w:cs="David"/>
          <w:sz w:val="24"/>
          <w:szCs w:val="24"/>
          <w:rtl/>
        </w:rPr>
        <w:t xml:space="preserve">קשיים לעניין אופן ביצוע ההפרדה, איזון המשאבים ופירוק השיתוף, </w:t>
      </w:r>
      <w:r>
        <w:rPr>
          <w:rFonts w:ascii="David" w:hAnsi="David" w:cs="David" w:hint="cs"/>
          <w:sz w:val="24"/>
          <w:szCs w:val="24"/>
          <w:rtl/>
        </w:rPr>
        <w:t xml:space="preserve">יש הצדקה למתן סעד זמני.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לאחר דיון במעמד הצדדים, ההתרשמות היא שאין הצדקה להותיר את הצו</w:t>
      </w:r>
      <w:r w:rsidR="00ED164F">
        <w:rPr>
          <w:rFonts w:ascii="David" w:hAnsi="David" w:cs="David" w:hint="cs"/>
          <w:sz w:val="24"/>
          <w:szCs w:val="24"/>
          <w:rtl/>
        </w:rPr>
        <w:t xml:space="preserve"> הארעי</w:t>
      </w:r>
      <w:r w:rsidRPr="002B7A18">
        <w:rPr>
          <w:rFonts w:ascii="David" w:hAnsi="David" w:cs="David"/>
          <w:sz w:val="24"/>
          <w:szCs w:val="24"/>
          <w:rtl/>
        </w:rPr>
        <w:t xml:space="preserve"> על כנו. חששה של המבקשת מפני הברחה אינו ברור. ראשית, היא כלל לא הצביע</w:t>
      </w:r>
      <w:r w:rsidR="002A5128">
        <w:rPr>
          <w:rFonts w:ascii="David" w:hAnsi="David" w:cs="David" w:hint="cs"/>
          <w:sz w:val="24"/>
          <w:szCs w:val="24"/>
          <w:rtl/>
        </w:rPr>
        <w:t>ה</w:t>
      </w:r>
      <w:r w:rsidRPr="002B7A18">
        <w:rPr>
          <w:rFonts w:ascii="David" w:hAnsi="David" w:cs="David"/>
          <w:sz w:val="24"/>
          <w:szCs w:val="24"/>
          <w:rtl/>
        </w:rPr>
        <w:t xml:space="preserve"> על פעולה כלשהי שנקט בה המשיב </w:t>
      </w:r>
      <w:r w:rsidRPr="002B7A18">
        <w:rPr>
          <w:rFonts w:ascii="David" w:hAnsi="David" w:cs="David"/>
          <w:sz w:val="24"/>
          <w:szCs w:val="24"/>
          <w:rtl/>
        </w:rPr>
        <w:lastRenderedPageBreak/>
        <w:t xml:space="preserve">העולה כדי חשש מהברחת נכס משותף. אין די בטענה כללית בדבר אמירה של המשיב כי לא ישלם "שקל" . ר' עמ' 2, </w:t>
      </w:r>
      <w:proofErr w:type="spellStart"/>
      <w:r w:rsidRPr="002B7A18">
        <w:rPr>
          <w:rFonts w:ascii="David" w:hAnsi="David" w:cs="David"/>
          <w:sz w:val="24"/>
          <w:szCs w:val="24"/>
          <w:rtl/>
        </w:rPr>
        <w:t>שו</w:t>
      </w:r>
      <w:proofErr w:type="spellEnd"/>
      <w:r w:rsidRPr="002B7A18">
        <w:rPr>
          <w:rFonts w:ascii="David" w:hAnsi="David" w:cs="David"/>
          <w:sz w:val="24"/>
          <w:szCs w:val="24"/>
          <w:rtl/>
        </w:rPr>
        <w:t xml:space="preserve">' 31. יוטעם בהקשר זה כי </w:t>
      </w:r>
      <w:r w:rsidR="00ED164F">
        <w:rPr>
          <w:rFonts w:ascii="David" w:hAnsi="David" w:cs="David"/>
          <w:sz w:val="24"/>
          <w:szCs w:val="24"/>
          <w:rtl/>
        </w:rPr>
        <w:t xml:space="preserve">בהחלטה למזונות זמניים </w:t>
      </w:r>
      <w:r w:rsidRPr="002B7A18">
        <w:rPr>
          <w:rFonts w:ascii="David" w:hAnsi="David" w:cs="David"/>
          <w:sz w:val="24"/>
          <w:szCs w:val="24"/>
          <w:rtl/>
        </w:rPr>
        <w:t xml:space="preserve">נקבע כי המשיב יישא במזונות 2 הבנות התאומות שגילן כ-12 שנים, בסך 800 ₪ לחודש. </w:t>
      </w:r>
      <w:r w:rsidR="00ED164F">
        <w:rPr>
          <w:rFonts w:ascii="David" w:hAnsi="David" w:cs="David" w:hint="cs"/>
          <w:sz w:val="24"/>
          <w:szCs w:val="24"/>
          <w:rtl/>
        </w:rPr>
        <w:t xml:space="preserve">בנוסף, </w:t>
      </w:r>
      <w:r w:rsidRPr="002B7A18">
        <w:rPr>
          <w:rFonts w:ascii="David" w:hAnsi="David" w:cs="David"/>
          <w:sz w:val="24"/>
          <w:szCs w:val="24"/>
          <w:rtl/>
        </w:rPr>
        <w:t>בשינוי סיסמה לכניסה לחשבון הבנק מרחוק, אין די על מנת לקבוע שמדובר בניסיון להברחת נכסים. המבקשת היא שותפה בחשבון ודבר לא מ</w:t>
      </w:r>
      <w:r w:rsidR="00ED164F">
        <w:rPr>
          <w:rFonts w:ascii="David" w:hAnsi="David" w:cs="David" w:hint="cs"/>
          <w:sz w:val="24"/>
          <w:szCs w:val="24"/>
          <w:rtl/>
        </w:rPr>
        <w:t>ו</w:t>
      </w:r>
      <w:r w:rsidRPr="002B7A18">
        <w:rPr>
          <w:rFonts w:ascii="David" w:hAnsi="David" w:cs="David"/>
          <w:sz w:val="24"/>
          <w:szCs w:val="24"/>
          <w:rtl/>
        </w:rPr>
        <w:t xml:space="preserve">נע ממנה גישה אליו, בדרך זו או אחרת. ר' עמ' 4, </w:t>
      </w:r>
      <w:proofErr w:type="spellStart"/>
      <w:r w:rsidRPr="002B7A18">
        <w:rPr>
          <w:rFonts w:ascii="David" w:hAnsi="David" w:cs="David"/>
          <w:sz w:val="24"/>
          <w:szCs w:val="24"/>
          <w:rtl/>
        </w:rPr>
        <w:t>שו</w:t>
      </w:r>
      <w:proofErr w:type="spellEnd"/>
      <w:r w:rsidRPr="002B7A18">
        <w:rPr>
          <w:rFonts w:ascii="David" w:hAnsi="David" w:cs="David"/>
          <w:sz w:val="24"/>
          <w:szCs w:val="24"/>
          <w:rtl/>
        </w:rPr>
        <w:t xml:space="preserve">' 21.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שנית, קיימים די והותר נכסים להיפרע מהם, לרבות זכויות הצדדים ב-2 נכסי מקרקעין וזכויות סוציאליות של המשיב שנצברו בהתאם להיותו קצין בשירות קבע בצה"ל, כשרוב הסכום אינו נזיל. בהקשר זה, </w:t>
      </w:r>
      <w:r w:rsidR="00A91D77">
        <w:rPr>
          <w:rFonts w:ascii="David" w:hAnsi="David" w:cs="David" w:hint="cs"/>
          <w:sz w:val="24"/>
          <w:szCs w:val="24"/>
          <w:rtl/>
        </w:rPr>
        <w:t xml:space="preserve">המשיב אינו משתחרר "מחר", כטענת המבקשת. </w:t>
      </w:r>
      <w:r w:rsidR="002A5128">
        <w:rPr>
          <w:rFonts w:ascii="David" w:hAnsi="David" w:cs="David"/>
          <w:sz w:val="24"/>
          <w:szCs w:val="24"/>
          <w:rtl/>
        </w:rPr>
        <w:t>למשיב טרם מלאו</w:t>
      </w:r>
      <w:r w:rsidR="002A5128">
        <w:rPr>
          <w:rFonts w:ascii="David" w:hAnsi="David" w:cs="David" w:hint="cs"/>
          <w:sz w:val="24"/>
          <w:szCs w:val="24"/>
          <w:rtl/>
        </w:rPr>
        <w:t xml:space="preserve"> </w:t>
      </w:r>
      <w:r w:rsidR="002A5128">
        <w:rPr>
          <w:rFonts w:ascii="David" w:hAnsi="David" w:cs="David"/>
          <w:sz w:val="24"/>
          <w:szCs w:val="24"/>
        </w:rPr>
        <w:t>x</w:t>
      </w:r>
      <w:r w:rsidR="002A5128">
        <w:rPr>
          <w:rFonts w:ascii="David" w:hAnsi="David" w:cs="David" w:hint="cs"/>
          <w:sz w:val="24"/>
          <w:szCs w:val="24"/>
          <w:rtl/>
        </w:rPr>
        <w:t xml:space="preserve"> </w:t>
      </w:r>
      <w:r w:rsidRPr="002B7A18">
        <w:rPr>
          <w:rFonts w:ascii="David" w:hAnsi="David" w:cs="David"/>
          <w:sz w:val="24"/>
          <w:szCs w:val="24"/>
          <w:rtl/>
        </w:rPr>
        <w:t xml:space="preserve">שנים והוא לא צפוי להשתחרר לפני שימלאו לו 42 שנים.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A91D77">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נחה דעתי</w:t>
      </w:r>
      <w:r w:rsidR="00A91D77">
        <w:rPr>
          <w:rFonts w:ascii="David" w:hAnsi="David" w:cs="David" w:hint="cs"/>
          <w:sz w:val="24"/>
          <w:szCs w:val="24"/>
          <w:rtl/>
        </w:rPr>
        <w:t>,</w:t>
      </w:r>
      <w:r w:rsidR="00A91D77">
        <w:rPr>
          <w:rFonts w:ascii="David" w:hAnsi="David" w:cs="David"/>
          <w:sz w:val="24"/>
          <w:szCs w:val="24"/>
          <w:rtl/>
        </w:rPr>
        <w:t xml:space="preserve"> כי די </w:t>
      </w:r>
      <w:r w:rsidR="00A91D77">
        <w:rPr>
          <w:rFonts w:ascii="David" w:hAnsi="David" w:cs="David" w:hint="cs"/>
          <w:sz w:val="24"/>
          <w:szCs w:val="24"/>
          <w:rtl/>
        </w:rPr>
        <w:t>בנכסים אלה</w:t>
      </w:r>
      <w:r w:rsidRPr="002B7A18">
        <w:rPr>
          <w:rFonts w:ascii="David" w:hAnsi="David" w:cs="David"/>
          <w:sz w:val="24"/>
          <w:szCs w:val="24"/>
          <w:rtl/>
        </w:rPr>
        <w:t xml:space="preserve"> על מנת להפיג את חששה של המבקשת מפני הברחת כלי הרכב (שנמצא בשימושה או בשימוש אחותה) ששוו</w:t>
      </w:r>
      <w:r w:rsidR="00A91D77">
        <w:rPr>
          <w:rFonts w:ascii="David" w:hAnsi="David" w:cs="David"/>
          <w:sz w:val="24"/>
          <w:szCs w:val="24"/>
          <w:rtl/>
        </w:rPr>
        <w:t xml:space="preserve">יו כ-20,000 ₪, ר' עמ' 5, </w:t>
      </w:r>
      <w:proofErr w:type="spellStart"/>
      <w:r w:rsidR="00A91D77">
        <w:rPr>
          <w:rFonts w:ascii="David" w:hAnsi="David" w:cs="David"/>
          <w:sz w:val="24"/>
          <w:szCs w:val="24"/>
          <w:rtl/>
        </w:rPr>
        <w:t>שו</w:t>
      </w:r>
      <w:proofErr w:type="spellEnd"/>
      <w:r w:rsidR="00A91D77">
        <w:rPr>
          <w:rFonts w:ascii="David" w:hAnsi="David" w:cs="David"/>
          <w:sz w:val="24"/>
          <w:szCs w:val="24"/>
          <w:rtl/>
        </w:rPr>
        <w:t>' 17</w:t>
      </w:r>
      <w:r w:rsidR="00A91D77">
        <w:rPr>
          <w:rFonts w:ascii="David" w:hAnsi="David" w:cs="David" w:hint="cs"/>
          <w:sz w:val="24"/>
          <w:szCs w:val="24"/>
          <w:rtl/>
        </w:rPr>
        <w:t>,</w:t>
      </w:r>
      <w:r w:rsidRPr="002B7A18">
        <w:rPr>
          <w:rFonts w:ascii="David" w:hAnsi="David" w:cs="David"/>
          <w:sz w:val="24"/>
          <w:szCs w:val="24"/>
          <w:rtl/>
        </w:rPr>
        <w:t xml:space="preserve"> וכן את </w:t>
      </w:r>
      <w:r w:rsidR="00A91D77">
        <w:rPr>
          <w:rFonts w:ascii="David" w:hAnsi="David" w:cs="David" w:hint="cs"/>
          <w:sz w:val="24"/>
          <w:szCs w:val="24"/>
          <w:rtl/>
        </w:rPr>
        <w:t xml:space="preserve">החשש מפני הברחת </w:t>
      </w:r>
      <w:r w:rsidRPr="002B7A18">
        <w:rPr>
          <w:rFonts w:ascii="David" w:hAnsi="David" w:cs="David"/>
          <w:sz w:val="24"/>
          <w:szCs w:val="24"/>
          <w:rtl/>
        </w:rPr>
        <w:t xml:space="preserve">חסכונות הבנות שנמצאים בחשבון הבנק המשותף, בסך כ-15,000 ₪ לכל קטינה, ר' עמ' 3, </w:t>
      </w:r>
      <w:proofErr w:type="spellStart"/>
      <w:r w:rsidRPr="002B7A18">
        <w:rPr>
          <w:rFonts w:ascii="David" w:hAnsi="David" w:cs="David"/>
          <w:sz w:val="24"/>
          <w:szCs w:val="24"/>
          <w:rtl/>
        </w:rPr>
        <w:t>שו</w:t>
      </w:r>
      <w:proofErr w:type="spellEnd"/>
      <w:r w:rsidRPr="002B7A18">
        <w:rPr>
          <w:rFonts w:ascii="David" w:hAnsi="David" w:cs="David"/>
          <w:sz w:val="24"/>
          <w:szCs w:val="24"/>
          <w:rtl/>
        </w:rPr>
        <w:t xml:space="preserve">' 33. </w:t>
      </w:r>
    </w:p>
    <w:p w:rsidR="002B7A18" w:rsidRPr="002B7A18" w:rsidRDefault="002B7A18" w:rsidP="002B7A18">
      <w:pPr>
        <w:pStyle w:val="ad"/>
        <w:spacing w:after="0" w:line="360" w:lineRule="auto"/>
        <w:ind w:left="0"/>
        <w:jc w:val="both"/>
        <w:rPr>
          <w:rFonts w:ascii="David" w:eastAsia="Times New Roman"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eastAsia="Times New Roman" w:hAnsi="David" w:cs="David"/>
          <w:sz w:val="24"/>
          <w:szCs w:val="24"/>
          <w:rtl/>
        </w:rPr>
        <w:t xml:space="preserve">על יסוד אלה, לא הורם הנטל להראות כי הסעד הזמני נחוץ לשם "הגשמת המטרה" שתוכל המבקשת להיפרע עם מתן פסק-הדין וכי המשיב יתקשה בתשלום פסק-הדין. ר' הוראת תקנה 95(ב) לתקנות.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במצב דברים זה שבו הרכיבים כפי שפורטו לעיל אינו חוצים רף מינימאלי שמתחת לו לא יינתן סעד זמני, אין מקום לעריכת השוואת נזקים במסגרת מאזן הנוחות.</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אשר לרכ</w:t>
      </w:r>
      <w:r w:rsidR="00A91D77">
        <w:rPr>
          <w:rFonts w:ascii="David" w:hAnsi="David" w:cs="David"/>
          <w:sz w:val="24"/>
          <w:szCs w:val="24"/>
          <w:rtl/>
        </w:rPr>
        <w:t>יבי תום-הלב והשיהוי, לא נמצא לי</w:t>
      </w:r>
      <w:r w:rsidRPr="002B7A18">
        <w:rPr>
          <w:rFonts w:ascii="David" w:hAnsi="David" w:cs="David"/>
          <w:sz w:val="24"/>
          <w:szCs w:val="24"/>
          <w:rtl/>
        </w:rPr>
        <w:t>חסם לצדדים באופן המטה את הכף, אך מקובלת בהחלט טענת המשיב שלפיה הצד</w:t>
      </w:r>
      <w:r w:rsidR="00A91D77">
        <w:rPr>
          <w:rFonts w:ascii="David" w:hAnsi="David" w:cs="David" w:hint="cs"/>
          <w:sz w:val="24"/>
          <w:szCs w:val="24"/>
          <w:rtl/>
        </w:rPr>
        <w:t>ד</w:t>
      </w:r>
      <w:r w:rsidRPr="002B7A18">
        <w:rPr>
          <w:rFonts w:ascii="David" w:hAnsi="David" w:cs="David"/>
          <w:sz w:val="24"/>
          <w:szCs w:val="24"/>
          <w:rtl/>
        </w:rPr>
        <w:t xml:space="preserve">ים התנהלו בהסכמות, כפי העולה גם ממסרונים שהוצגו, ממועד הפירוד בחודש ספטמבר 2022 ועד לחודש פברואר 2023, כשבקשה לסעד זמני הוגשה כאמור </w:t>
      </w:r>
      <w:r w:rsidR="00A91D77">
        <w:rPr>
          <w:rFonts w:ascii="David" w:hAnsi="David" w:cs="David" w:hint="cs"/>
          <w:sz w:val="24"/>
          <w:szCs w:val="24"/>
          <w:rtl/>
        </w:rPr>
        <w:t xml:space="preserve">רק </w:t>
      </w:r>
      <w:r w:rsidRPr="002B7A18">
        <w:rPr>
          <w:rFonts w:ascii="David" w:hAnsi="David" w:cs="David"/>
          <w:sz w:val="24"/>
          <w:szCs w:val="24"/>
          <w:rtl/>
        </w:rPr>
        <w:t xml:space="preserve">ביום 30.3.23. ר' עמ' 3, </w:t>
      </w:r>
      <w:proofErr w:type="spellStart"/>
      <w:r w:rsidRPr="002B7A18">
        <w:rPr>
          <w:rFonts w:ascii="David" w:hAnsi="David" w:cs="David"/>
          <w:sz w:val="24"/>
          <w:szCs w:val="24"/>
          <w:rtl/>
        </w:rPr>
        <w:t>שו</w:t>
      </w:r>
      <w:proofErr w:type="spellEnd"/>
      <w:r w:rsidRPr="002B7A18">
        <w:rPr>
          <w:rFonts w:ascii="David" w:hAnsi="David" w:cs="David"/>
          <w:sz w:val="24"/>
          <w:szCs w:val="24"/>
          <w:rtl/>
        </w:rPr>
        <w:t>' 17. לא זו בלבד, הבקשה גם לא הוגשה במשך כחודשיים שבהם התנהל הליך</w:t>
      </w:r>
      <w:r w:rsidR="00A91D77">
        <w:rPr>
          <w:rFonts w:ascii="David" w:hAnsi="David" w:cs="David"/>
          <w:sz w:val="24"/>
          <w:szCs w:val="24"/>
          <w:rtl/>
        </w:rPr>
        <w:t xml:space="preserve"> יישוב סכסוך. יש </w:t>
      </w:r>
      <w:r w:rsidR="00A91D77">
        <w:rPr>
          <w:rFonts w:ascii="David" w:hAnsi="David" w:cs="David" w:hint="cs"/>
          <w:sz w:val="24"/>
          <w:szCs w:val="24"/>
          <w:rtl/>
        </w:rPr>
        <w:t>ב</w:t>
      </w:r>
      <w:r w:rsidRPr="002B7A18">
        <w:rPr>
          <w:rFonts w:ascii="David" w:hAnsi="David" w:cs="David"/>
          <w:sz w:val="24"/>
          <w:szCs w:val="24"/>
          <w:rtl/>
        </w:rPr>
        <w:t xml:space="preserve">כך אפוא כדי להטות את הכף עוד יותר ולקבוע שהמבקשת לא סברה שיש צורך בצו קודם לכן וההתרשמות היא שאין צורך בצו גם כעת. </w:t>
      </w:r>
    </w:p>
    <w:p w:rsidR="002B7A18" w:rsidRPr="002B7A18" w:rsidRDefault="002B7A18" w:rsidP="002B7A18">
      <w:pPr>
        <w:pStyle w:val="ad"/>
        <w:spacing w:after="0" w:line="360" w:lineRule="auto"/>
        <w:ind w:left="0"/>
        <w:jc w:val="both"/>
        <w:rPr>
          <w:rFonts w:ascii="David"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hAnsi="David" w:cs="David"/>
          <w:sz w:val="24"/>
          <w:szCs w:val="24"/>
          <w:rtl/>
        </w:rPr>
        <w:t xml:space="preserve">על יסוד מכלול האמור, לא נמצאו כל טעם והצדקה למתן הצו המבוקש, והבקשה נדחית. </w:t>
      </w:r>
      <w:r w:rsidRPr="002B7A18">
        <w:rPr>
          <w:rFonts w:ascii="David" w:hAnsi="David" w:cs="David"/>
          <w:b/>
          <w:bCs/>
          <w:sz w:val="24"/>
          <w:szCs w:val="24"/>
          <w:u w:val="single"/>
          <w:rtl/>
        </w:rPr>
        <w:t xml:space="preserve">תואיל המזכירות </w:t>
      </w:r>
      <w:r w:rsidRPr="002B7A18">
        <w:rPr>
          <w:rFonts w:ascii="David" w:hAnsi="David" w:cs="David"/>
          <w:sz w:val="24"/>
          <w:szCs w:val="24"/>
          <w:rtl/>
        </w:rPr>
        <w:t xml:space="preserve">לבטל צו ארעי מיום 13.4.23. </w:t>
      </w:r>
    </w:p>
    <w:p w:rsidR="002B7A18" w:rsidRPr="002B7A18" w:rsidRDefault="002B7A18" w:rsidP="002B7A18">
      <w:pPr>
        <w:pStyle w:val="ad"/>
        <w:spacing w:after="0" w:line="360" w:lineRule="auto"/>
        <w:ind w:left="0"/>
        <w:jc w:val="both"/>
        <w:rPr>
          <w:rFonts w:ascii="David" w:eastAsia="Times New Roman" w:hAnsi="David" w:cs="David"/>
          <w:sz w:val="24"/>
          <w:szCs w:val="24"/>
        </w:rPr>
      </w:pPr>
    </w:p>
    <w:p w:rsidR="002B7A18" w:rsidRPr="002B7A18" w:rsidRDefault="002B7A18" w:rsidP="002B7A18">
      <w:pPr>
        <w:pStyle w:val="ad"/>
        <w:numPr>
          <w:ilvl w:val="0"/>
          <w:numId w:val="1"/>
        </w:numPr>
        <w:spacing w:after="0" w:line="360" w:lineRule="auto"/>
        <w:ind w:left="0"/>
        <w:jc w:val="both"/>
        <w:rPr>
          <w:rFonts w:ascii="David" w:hAnsi="David" w:cs="David"/>
          <w:sz w:val="24"/>
          <w:szCs w:val="24"/>
          <w:rtl/>
        </w:rPr>
      </w:pPr>
      <w:r w:rsidRPr="002B7A18">
        <w:rPr>
          <w:rFonts w:ascii="David" w:eastAsia="Times New Roman" w:hAnsi="David" w:cs="David"/>
          <w:sz w:val="24"/>
          <w:szCs w:val="24"/>
          <w:rtl/>
        </w:rPr>
        <w:t xml:space="preserve">למען הסר ספק, כל הקביעות דלעיל הן בקשר עם הבקשה לסעד זמני בלבד ואין בכך כדי לקבע דבר בהליך העיקרי. </w:t>
      </w:r>
    </w:p>
    <w:p w:rsidR="002B7A18" w:rsidRPr="002B7A18" w:rsidRDefault="002B7A18" w:rsidP="002B7A18">
      <w:pPr>
        <w:pStyle w:val="ad"/>
        <w:spacing w:after="0" w:line="360" w:lineRule="auto"/>
        <w:ind w:left="0"/>
        <w:jc w:val="both"/>
        <w:rPr>
          <w:rFonts w:ascii="David" w:hAnsi="David" w:cs="David"/>
          <w:sz w:val="24"/>
          <w:szCs w:val="24"/>
        </w:rPr>
      </w:pPr>
    </w:p>
    <w:p w:rsidR="002B7A18" w:rsidRDefault="002B7A18" w:rsidP="002B7A18">
      <w:pPr>
        <w:pStyle w:val="ad"/>
        <w:numPr>
          <w:ilvl w:val="0"/>
          <w:numId w:val="1"/>
        </w:numPr>
        <w:spacing w:after="0" w:line="360" w:lineRule="auto"/>
        <w:ind w:left="0"/>
        <w:jc w:val="both"/>
        <w:rPr>
          <w:rFonts w:ascii="David" w:hAnsi="David" w:cs="David"/>
          <w:sz w:val="24"/>
          <w:szCs w:val="24"/>
        </w:rPr>
      </w:pPr>
      <w:r w:rsidRPr="002B7A18">
        <w:rPr>
          <w:rFonts w:ascii="David" w:hAnsi="David" w:cs="David"/>
          <w:sz w:val="24"/>
          <w:szCs w:val="24"/>
          <w:rtl/>
        </w:rPr>
        <w:lastRenderedPageBreak/>
        <w:t xml:space="preserve">לאחר שנלקחו בחשבון בין היתר סוג ההליך, אופי הטענות והתנהלות הצדדים, תישא המבקשת בהוצאות המשיב בסך 5,000 ₪ אשר ישולם לו בתוך 30 ימים, בהתאם להוראות תקנות 53, 151(ב), ו-153(ג) לתקנות וכן תקנה 18(ג) לתקנות בית המשפט לענייני משפחה (סדרי דין), תשפ"א-2020. </w:t>
      </w:r>
    </w:p>
    <w:p w:rsidR="00A91D77" w:rsidRPr="00A91D77" w:rsidRDefault="00A91D77" w:rsidP="00A91D77">
      <w:pPr>
        <w:pStyle w:val="ad"/>
        <w:rPr>
          <w:rFonts w:ascii="David" w:hAnsi="David" w:cs="David"/>
          <w:sz w:val="24"/>
          <w:szCs w:val="24"/>
          <w:rtl/>
        </w:rPr>
      </w:pPr>
    </w:p>
    <w:p w:rsidR="00A91D77" w:rsidRPr="002B7A18" w:rsidRDefault="00A91D77" w:rsidP="00A91D77">
      <w:pPr>
        <w:pStyle w:val="ad"/>
        <w:spacing w:after="0" w:line="360" w:lineRule="auto"/>
        <w:ind w:left="0"/>
        <w:jc w:val="both"/>
        <w:rPr>
          <w:rFonts w:ascii="David" w:hAnsi="David" w:cs="David"/>
          <w:sz w:val="24"/>
          <w:szCs w:val="24"/>
          <w:rtl/>
        </w:rPr>
      </w:pPr>
      <w:r>
        <w:rPr>
          <w:rFonts w:ascii="David" w:hAnsi="David" w:cs="David" w:hint="cs"/>
          <w:sz w:val="24"/>
          <w:szCs w:val="24"/>
          <w:rtl/>
        </w:rPr>
        <w:t xml:space="preserve">ניתן לפרסם החלטה זו לאחר השמטת פרטים מזהים. </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יולי 2023</w:t>
          </w:r>
        </w:sdtContent>
      </w:sdt>
      <w:r w:rsidR="00005C8B">
        <w:rPr>
          <w:rFonts w:ascii="Arial" w:hAnsi="Arial"/>
          <w:noProof w:val="0"/>
          <w:rtl/>
        </w:rPr>
        <w:t>, בהעדר הצדדים.</w:t>
      </w:r>
    </w:p>
    <w:p w:rsidR="00C43648" w:rsidRDefault="0031449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83719112"/>
        </w:sdtPr>
        <w:sdtEndPr/>
        <w:sdtContent>
          <w:r w:rsidR="005377DD">
            <w:drawing>
              <wp:inline distT="0" distB="0" distL="0" distR="0" wp14:editId="50D07946">
                <wp:extent cx="1092708"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92708" cy="457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49C" w:rsidRDefault="0031449C">
      <w:r>
        <w:separator/>
      </w:r>
    </w:p>
  </w:endnote>
  <w:endnote w:type="continuationSeparator" w:id="0">
    <w:p w:rsidR="0031449C" w:rsidRDefault="0031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7EB" w:rsidRDefault="007647E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647E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647EB">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7EB" w:rsidRDefault="007647E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49C" w:rsidRDefault="0031449C">
      <w:r>
        <w:separator/>
      </w:r>
    </w:p>
  </w:footnote>
  <w:footnote w:type="continuationSeparator" w:id="0">
    <w:p w:rsidR="0031449C" w:rsidRDefault="00314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7EB" w:rsidRDefault="007647E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2B7A18" w:rsidRDefault="0031449C" w:rsidP="002A5128">
          <w:pPr>
            <w:rPr>
              <w:b/>
              <w:bCs/>
              <w:noProof w:val="0"/>
              <w:sz w:val="26"/>
              <w:szCs w:val="26"/>
              <w:rtl/>
            </w:rPr>
          </w:pPr>
          <w:sdt>
            <w:sdtPr>
              <w:rPr>
                <w:rtl/>
              </w:rPr>
              <w:alias w:val="1170"/>
              <w:tag w:val="1170"/>
              <w:id w:val="1066377040"/>
              <w:text w:multiLine="1"/>
            </w:sdtPr>
            <w:sdtEndPr/>
            <w:sdtContent>
              <w:proofErr w:type="spellStart"/>
              <w:r w:rsidR="00897DAF">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70364-03-23</w:t>
              </w:r>
            </w:sdtContent>
          </w:sdt>
          <w:bookmarkEnd w:id="1"/>
          <w:r w:rsidR="00005C8B">
            <w:rPr>
              <w:b/>
              <w:bCs/>
              <w:noProof w:val="0"/>
              <w:sz w:val="26"/>
              <w:szCs w:val="26"/>
              <w:rtl/>
            </w:rPr>
            <w:t xml:space="preserve"> </w:t>
          </w:r>
          <w:sdt>
            <w:sdtPr>
              <w:rPr>
                <w:rtl/>
              </w:rPr>
              <w:alias w:val="1172"/>
              <w:tag w:val="1172"/>
              <w:id w:val="-595170033"/>
              <w:showingPlcHdr/>
              <w:text w:multiLine="1"/>
            </w:sdtPr>
            <w:sdtEndPr/>
            <w:sdtContent>
              <w:r w:rsidR="002A5128">
                <w:rPr>
                  <w:rtl/>
                </w:rPr>
                <w:t xml:space="preserve">     </w:t>
              </w:r>
            </w:sdtContent>
          </w:sdt>
          <w:r w:rsidR="001173C6">
            <w:rPr>
              <w:sz w:val="20"/>
              <w:szCs w:val="20"/>
              <w:rtl/>
            </w:rPr>
            <w:t xml:space="preserve"> </w:t>
          </w:r>
        </w:p>
      </w:tc>
    </w:tr>
  </w:tbl>
  <w:p w:rsidR="00694556" w:rsidRDefault="00694556">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7EB" w:rsidRDefault="007647E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DB3243"/>
    <w:multiLevelType w:val="hybridMultilevel"/>
    <w:tmpl w:val="A5C4BA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A5128"/>
    <w:rsid w:val="002B7A18"/>
    <w:rsid w:val="002C344E"/>
    <w:rsid w:val="002C3F4A"/>
    <w:rsid w:val="002E75E9"/>
    <w:rsid w:val="00307A6A"/>
    <w:rsid w:val="00307C40"/>
    <w:rsid w:val="0031449C"/>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377DD"/>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439FD"/>
    <w:rsid w:val="00753019"/>
    <w:rsid w:val="00754801"/>
    <w:rsid w:val="00761441"/>
    <w:rsid w:val="007647EB"/>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1D77"/>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4778C"/>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ED164F"/>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B7A18"/>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8793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2589B" w:rsidP="00C2589B">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31B57"/>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2589B"/>
    <w:rsid w:val="00C92123"/>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C2589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1165</Words>
  <Characters>5827</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2023-07-11T08:26:00Z</dcterms:created>
  <dcterms:modified xsi:type="dcterms:W3CDTF">2023-07-11T08:26:00Z</dcterms:modified>
</cp:coreProperties>
</file>